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D69A5" w14:textId="77777777" w:rsidR="005A6E0D" w:rsidRDefault="005A6E0D" w:rsidP="00874952">
      <w:pPr>
        <w:keepNext/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2"/>
          <w:sz w:val="32"/>
          <w:szCs w:val="32"/>
          <w:lang w:eastAsia="zh-CN"/>
        </w:rPr>
      </w:pPr>
    </w:p>
    <w:p w14:paraId="0B7D76D8" w14:textId="427CBF23" w:rsidR="00020A70" w:rsidRPr="0044096E" w:rsidRDefault="00020A70" w:rsidP="00874952">
      <w:pPr>
        <w:keepNext/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2"/>
          <w:sz w:val="32"/>
          <w:szCs w:val="32"/>
          <w:lang w:eastAsia="zh-CN"/>
        </w:rPr>
      </w:pPr>
      <w:r w:rsidRPr="0044096E">
        <w:rPr>
          <w:rFonts w:ascii="Calibri" w:eastAsia="Times New Roman" w:hAnsi="Calibri" w:cs="Times New Roman"/>
          <w:b/>
          <w:bCs/>
          <w:kern w:val="32"/>
          <w:sz w:val="32"/>
          <w:szCs w:val="32"/>
          <w:lang w:eastAsia="zh-CN"/>
        </w:rPr>
        <w:t>МЕЖДИНЕН ДОКЛАД ЗА ДЕЙНОСТТА</w:t>
      </w:r>
    </w:p>
    <w:p w14:paraId="6744F44A" w14:textId="4FFDB44F" w:rsidR="00020A70" w:rsidRPr="009B1C07" w:rsidRDefault="00020A70" w:rsidP="0032719F">
      <w:pPr>
        <w:keepNext/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</w:pP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на „</w:t>
      </w:r>
      <w:r w:rsidR="007040AA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Компас Фонд за вземания“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АДСИЦ по чл.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100о, ал.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4, т.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 от ЗППЦК и чл.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12 и чл.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20, ал.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2, т.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1, ал.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3 и ал.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4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от Наредба №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2 от 9.11.2021 г. за първоначално  и </w:t>
      </w:r>
      <w:r w:rsidR="0032719F" w:rsidRP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последващо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 w:rsidRP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разкриване на информация при публично предлагане на ценни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 w:rsidRP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книжа и допускане на ценни книжа до търговия на регулиран пазар</w:t>
      </w:r>
      <w:r w:rsid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за периода 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01.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</w:t>
      </w:r>
      <w:r w:rsidR="00831608" w:rsidRPr="00831608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>4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.202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г. – 3</w:t>
      </w:r>
      <w:r w:rsidR="00831608" w:rsidRPr="00831608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>0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</w:t>
      </w:r>
      <w:r w:rsidR="00831608" w:rsidRPr="00831608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>6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.202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</w:t>
      </w:r>
      <w:r w:rsidR="00BD2B6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г.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и с натрупване от 01.01.202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г. до 3</w:t>
      </w:r>
      <w:r w:rsidR="00831608" w:rsidRPr="00831608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>0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</w:t>
      </w:r>
      <w:r w:rsidR="00831608" w:rsidRPr="00831608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>6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.202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г.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7F37A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</w:p>
    <w:p w14:paraId="5B5CA115" w14:textId="77777777" w:rsidR="00091157" w:rsidRDefault="00091157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B9C998B" w14:textId="46C2C0D5" w:rsidR="00874952" w:rsidRDefault="00874952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bookmarkStart w:id="0" w:name="_Hlk94083469"/>
      <w:r w:rsidR="007040AA" w:rsidRPr="007040AA">
        <w:rPr>
          <w:rFonts w:ascii="Calibri" w:eastAsia="SimSun" w:hAnsi="Calibri" w:cs="Times New Roman"/>
          <w:sz w:val="24"/>
          <w:szCs w:val="24"/>
          <w:lang w:eastAsia="zh-CN" w:bidi="bg-BG"/>
        </w:rPr>
        <w:t>„Компас Фонд за вземания“ АДСИЦ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bookmarkEnd w:id="0"/>
      <w:r w:rsidR="000204F2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с ЕИК </w:t>
      </w:r>
      <w:r w:rsidR="007040AA" w:rsidRPr="007040AA">
        <w:rPr>
          <w:rFonts w:ascii="Calibri" w:eastAsia="SimSun" w:hAnsi="Calibri" w:cs="Times New Roman"/>
          <w:sz w:val="24"/>
          <w:szCs w:val="24"/>
          <w:lang w:eastAsia="zh-CN" w:bidi="bg-BG"/>
        </w:rPr>
        <w:t>205685841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е акционерно дружество със специална инвестиционна цел, регистрирано в България по реда и условията на Закона за дружествата със специална инвестиционна цел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 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(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>отм.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)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, респ. по реда на </w:t>
      </w:r>
      <w:r w:rsidR="00091157" w:rsidRPr="00091157">
        <w:rPr>
          <w:rFonts w:ascii="Calibri" w:eastAsia="SimSun" w:hAnsi="Calibri" w:cs="Times New Roman"/>
          <w:sz w:val="24"/>
          <w:szCs w:val="24"/>
          <w:lang w:eastAsia="zh-CN" w:bidi="bg-BG"/>
        </w:rPr>
        <w:t>Закона за дружествата със специална инвестиционна цел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и за дружествата за секюритизация 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(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>ЗДСИЦДС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)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>, обнародван на 12.03.2021 г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53D75CAB" w14:textId="782E712D" w:rsidR="00C8050C" w:rsidRDefault="00874952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7040AA" w:rsidRPr="007040AA">
        <w:rPr>
          <w:rFonts w:ascii="Calibri" w:eastAsia="SimSun" w:hAnsi="Calibri" w:cs="Times New Roman"/>
          <w:sz w:val="24"/>
          <w:szCs w:val="24"/>
          <w:lang w:eastAsia="zh-CN" w:bidi="bg-BG"/>
        </w:rPr>
        <w:t>Дружеството е  вписано в ТР на 01.06.2019 г. с ЕИК 205685841, със седалище и адрес на управление гр. София, п.код 1000, район „Възраждане“, ул. „Георг Вашингтон“ № 19, ет. 2. Предметът на дейност на Дружеството е набиране на парични средства, чрез издаване на ценни книжа и инвестиране на набраните средства във вземания (секюритизация на вземания), покупко – продажба на вземания.</w:t>
      </w:r>
    </w:p>
    <w:p w14:paraId="28B8CBC7" w14:textId="77777777" w:rsidR="007040AA" w:rsidRDefault="007040AA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80AF89F" w14:textId="7A4FD2F1" w:rsidR="002847D1" w:rsidRPr="005F26F0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Банка Депозитар на Дружеството е </w:t>
      </w:r>
      <w:r w:rsidR="00EB7B08" w:rsidRPr="00EB7B08">
        <w:rPr>
          <w:rFonts w:ascii="Calibri" w:eastAsia="SimSun" w:hAnsi="Calibri" w:cs="Times New Roman"/>
          <w:sz w:val="24"/>
          <w:szCs w:val="24"/>
          <w:lang w:eastAsia="zh-CN" w:bidi="bg-BG"/>
        </w:rPr>
        <w:t>„Централна кооперативна банка”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АД.</w:t>
      </w:r>
    </w:p>
    <w:p w14:paraId="27F09FD7" w14:textId="77777777" w:rsidR="00C8050C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5530B7CC" w14:textId="6F090E7E" w:rsidR="00020A70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EB7B08" w:rsidRPr="00EB7B08">
        <w:rPr>
          <w:rFonts w:ascii="Calibri" w:eastAsia="SimSun" w:hAnsi="Calibri" w:cs="Times New Roman"/>
          <w:sz w:val="24"/>
          <w:szCs w:val="24"/>
          <w:lang w:eastAsia="zh-CN" w:bidi="bg-BG"/>
        </w:rPr>
        <w:t>За обслужващо дружество, Дружеството има сключен договор с „АйДЕА обслужващо дружество” ЕООД, ЕИК 205501405, със седалище и адрес на управление гр. София, 1000, район „Средец“, ул.„Славянска“, № 29А, ет.2, ап.10.</w:t>
      </w:r>
      <w:r w:rsidR="00AA16DC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С</w:t>
      </w:r>
      <w:r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оглед на новоприетия ЗДСИЦДС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договорът с </w:t>
      </w:r>
      <w:r w:rsidR="003C18AB" w:rsidRPr="003C18AB">
        <w:rPr>
          <w:rFonts w:ascii="Calibri" w:eastAsia="SimSun" w:hAnsi="Calibri" w:cs="Times New Roman"/>
          <w:sz w:val="24"/>
          <w:szCs w:val="24"/>
          <w:lang w:eastAsia="zh-CN" w:bidi="bg-BG"/>
        </w:rPr>
        <w:t>„АйДЕА обслужващо дружество”</w:t>
      </w:r>
      <w:r w:rsidR="003C18A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Е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>ООД следва да бъде третиран като договор с трето лице по смисъла на чл.</w:t>
      </w:r>
      <w:r w:rsidR="00166898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>27, ал.</w:t>
      </w:r>
      <w:r w:rsidR="00166898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>4 от ЗДСИЦДС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43443FA8" w14:textId="0285B11D" w:rsidR="003C4EC9" w:rsidRPr="003C4EC9" w:rsidRDefault="003C4EC9" w:rsidP="003C4EC9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 w:rsidRPr="003C4EC9">
        <w:rPr>
          <w:rFonts w:ascii="Calibri" w:eastAsia="SimSun" w:hAnsi="Calibri" w:cs="Times New Roman"/>
          <w:sz w:val="24"/>
          <w:szCs w:val="24"/>
          <w:lang w:eastAsia="zh-CN" w:bidi="bg-BG"/>
        </w:rPr>
        <w:t>Дружеството има сключен договор за регулярно и ефективно разкриване</w:t>
      </w:r>
      <w:r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Pr="003C4EC9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и разпространение на информация до обществеността с Инвестор.бг АД (</w:t>
      </w:r>
      <w:hyperlink r:id="rId7" w:history="1">
        <w:r w:rsidRPr="003C4EC9">
          <w:rPr>
            <w:rStyle w:val="Hyperlink"/>
            <w:rFonts w:ascii="Calibri" w:eastAsia="SimSun" w:hAnsi="Calibri" w:cs="Times New Roman"/>
            <w:sz w:val="24"/>
            <w:szCs w:val="24"/>
            <w:u w:val="none"/>
            <w:lang w:eastAsia="zh-CN" w:bidi="bg-BG"/>
          </w:rPr>
          <w:t>www.investor.bg</w:t>
        </w:r>
      </w:hyperlink>
      <w:r w:rsidRPr="003C4EC9">
        <w:rPr>
          <w:rFonts w:ascii="Calibri" w:eastAsia="SimSun" w:hAnsi="Calibri" w:cs="Times New Roman"/>
          <w:sz w:val="24"/>
          <w:szCs w:val="24"/>
          <w:lang w:eastAsia="zh-CN" w:bidi="bg-BG"/>
        </w:rPr>
        <w:t>).</w:t>
      </w:r>
    </w:p>
    <w:p w14:paraId="497DD9A1" w14:textId="77777777" w:rsidR="003C4EC9" w:rsidRDefault="003C4EC9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4907EBE5" w14:textId="77777777" w:rsidR="00C8050C" w:rsidRPr="005F26F0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7EFE9572" w14:textId="75CF29EF" w:rsidR="00C8050C" w:rsidRDefault="00C8050C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С Решение № 1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311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-ДСИЦ от 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19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.1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2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.20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19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г. </w:t>
      </w:r>
      <w:r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на Комисията за финансов надзор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„Компас Фонд за вземания“ АДСИЦ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е лицензирано да извършва дейност като дружество със специална инвестиционна цел, а именно: инвестиране на парични средства, набрани чрез издаване на ценни книжа, в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ъв вземания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(секюритизация н</w:t>
      </w:r>
      <w:r w:rsidR="003E0809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а </w:t>
      </w:r>
      <w:r w:rsidR="006E2BDC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вземания</w:t>
      </w:r>
      <w:r w:rsidR="003E0809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)</w:t>
      </w:r>
      <w:r w:rsidR="005A6E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. </w:t>
      </w:r>
    </w:p>
    <w:p w14:paraId="2788B461" w14:textId="77777777" w:rsidR="005A6E0D" w:rsidRPr="002F7A24" w:rsidRDefault="005A6E0D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highlight w:val="yellow"/>
          <w:lang w:eastAsia="zh-CN" w:bidi="bg-BG"/>
        </w:rPr>
      </w:pPr>
    </w:p>
    <w:p w14:paraId="07B843BC" w14:textId="578FF8CE" w:rsidR="006E7E02" w:rsidRPr="00B5520D" w:rsidRDefault="00C8050C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С Решение № </w:t>
      </w:r>
      <w:r w:rsidR="00B5520D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272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-ПД от </w:t>
      </w:r>
      <w:r w:rsidR="00B5520D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16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.04.20</w:t>
      </w:r>
      <w:r w:rsidR="00B5520D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2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0 г. на Комисията за финансов надзор </w:t>
      </w:r>
      <w:r w:rsidR="00166898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Д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ружеството е вписано като публично дружество в регистъра на публичните дружества и други емитенти на ценни книжа. </w:t>
      </w:r>
    </w:p>
    <w:p w14:paraId="430B2697" w14:textId="77777777" w:rsidR="00C8050C" w:rsidRPr="002F7A24" w:rsidRDefault="00C8050C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highlight w:val="yellow"/>
          <w:lang w:eastAsia="zh-CN" w:bidi="bg-BG"/>
        </w:rPr>
      </w:pPr>
    </w:p>
    <w:p w14:paraId="716363F3" w14:textId="7777777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CFE51AC" w14:textId="0B18B8E5" w:rsidR="001619AE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Дружеството е с едностепенна система на управление и се управлява от Съвет на директорите в тричленен състав</w:t>
      </w:r>
      <w:r w:rsidR="002F7A24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, с </w:t>
      </w:r>
      <w:r w:rsidR="003E77EA">
        <w:rPr>
          <w:rFonts w:ascii="Calibri" w:eastAsia="SimSun" w:hAnsi="Calibri" w:cs="Times New Roman"/>
          <w:sz w:val="24"/>
          <w:szCs w:val="24"/>
          <w:lang w:eastAsia="zh-CN" w:bidi="bg-BG"/>
        </w:rPr>
        <w:t>пет</w:t>
      </w:r>
      <w:r w:rsidR="002F7A24">
        <w:rPr>
          <w:rFonts w:ascii="Calibri" w:eastAsia="SimSun" w:hAnsi="Calibri" w:cs="Times New Roman"/>
          <w:sz w:val="24"/>
          <w:szCs w:val="24"/>
          <w:lang w:eastAsia="zh-CN" w:bidi="bg-BG"/>
        </w:rPr>
        <w:t>годишен мандат</w:t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:</w:t>
      </w:r>
    </w:p>
    <w:p w14:paraId="138FF8A5" w14:textId="77777777" w:rsidR="00CF7EE9" w:rsidRPr="005F26F0" w:rsidRDefault="00CF7EE9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56BAB26D" w14:textId="77777777" w:rsidR="003E77EA" w:rsidRPr="003E77EA" w:rsidRDefault="003E77EA" w:rsidP="003E77EA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E77EA">
        <w:rPr>
          <w:rFonts w:cstheme="minorHAnsi"/>
          <w:sz w:val="24"/>
          <w:szCs w:val="24"/>
        </w:rPr>
        <w:t>Иван Димитров Пирински– член на Съвета на директорите и изпълнителен директор;</w:t>
      </w:r>
    </w:p>
    <w:p w14:paraId="535BD29E" w14:textId="77777777" w:rsidR="003E77EA" w:rsidRPr="003E77EA" w:rsidRDefault="003E77EA" w:rsidP="003E77EA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E77EA">
        <w:rPr>
          <w:rFonts w:cstheme="minorHAnsi"/>
          <w:sz w:val="24"/>
          <w:szCs w:val="24"/>
        </w:rPr>
        <w:t>Алексей Алипиев Георгиев  – Председател на Съвета на директорите;</w:t>
      </w:r>
    </w:p>
    <w:p w14:paraId="04ABDB22" w14:textId="77777777" w:rsidR="003E77EA" w:rsidRPr="003E77EA" w:rsidRDefault="003E77EA" w:rsidP="003E77EA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E77EA">
        <w:rPr>
          <w:rFonts w:cstheme="minorHAnsi"/>
          <w:sz w:val="24"/>
          <w:szCs w:val="24"/>
        </w:rPr>
        <w:t>Илхан Рамадан Фаик – член на Съвета на директорите.</w:t>
      </w:r>
    </w:p>
    <w:p w14:paraId="1388DE43" w14:textId="730BAB30" w:rsidR="00C8050C" w:rsidRPr="002F7A24" w:rsidRDefault="00C8050C" w:rsidP="003E77EA">
      <w:pPr>
        <w:pStyle w:val="ListParagraph"/>
        <w:spacing w:after="0" w:line="240" w:lineRule="auto"/>
        <w:ind w:left="1434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4C3629F" w14:textId="7777777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56AB1CAA" w14:textId="7777777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lastRenderedPageBreak/>
        <w:tab/>
      </w:r>
    </w:p>
    <w:p w14:paraId="7077736F" w14:textId="5B5F918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</w:p>
    <w:p w14:paraId="31946D6D" w14:textId="2C5BA8EA" w:rsidR="005F26F0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Дружеството се представлява 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пред трети лица </w:t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от изпълнителния директор</w:t>
      </w:r>
      <w:r w:rsidR="002F7A24" w:rsidRPr="002F7A24">
        <w:rPr>
          <w:rFonts w:ascii="Calibri" w:eastAsia="SimSun" w:hAnsi="Calibri" w:cs="Times New Roman"/>
          <w:sz w:val="24"/>
          <w:szCs w:val="24"/>
          <w:lang w:eastAsia="zh-CN" w:bidi="bg-BG"/>
        </w:rPr>
        <w:tab/>
        <w:t>Иван Димитров Пирински</w:t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2636AB11" w14:textId="77777777" w:rsidR="00091157" w:rsidRDefault="00091157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1A4D750F" w14:textId="675475BF" w:rsidR="007B66E4" w:rsidRPr="00C8050C" w:rsidRDefault="00020A70" w:rsidP="00C8050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Информация за важни събития, настъпили през периода 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01.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0</w:t>
      </w:r>
      <w:r w:rsidR="003E77EA">
        <w:rPr>
          <w:rFonts w:ascii="Calibri" w:eastAsia="SimSun" w:hAnsi="Calibri" w:cs="Times New Roman"/>
          <w:b/>
          <w:sz w:val="24"/>
          <w:szCs w:val="24"/>
          <w:lang w:eastAsia="zh-CN"/>
        </w:rPr>
        <w:t>7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 – 3</w:t>
      </w:r>
      <w:r w:rsidR="00831608" w:rsidRPr="00831608">
        <w:rPr>
          <w:rFonts w:ascii="Calibri" w:eastAsia="SimSun" w:hAnsi="Calibri" w:cs="Times New Roman"/>
          <w:b/>
          <w:sz w:val="24"/>
          <w:szCs w:val="24"/>
          <w:lang w:val="ru-RU" w:eastAsia="zh-CN"/>
        </w:rPr>
        <w:t>0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0</w:t>
      </w:r>
      <w:r w:rsidR="003E77EA">
        <w:rPr>
          <w:rFonts w:ascii="Calibri" w:eastAsia="SimSun" w:hAnsi="Calibri" w:cs="Times New Roman"/>
          <w:b/>
          <w:sz w:val="24"/>
          <w:szCs w:val="24"/>
          <w:lang w:eastAsia="zh-CN"/>
        </w:rPr>
        <w:t>9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.202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166898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>и с натрупване от 01.01.202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 до 3</w:t>
      </w:r>
      <w:r w:rsidR="00831608" w:rsidRPr="00831608">
        <w:rPr>
          <w:rFonts w:ascii="Calibri" w:eastAsia="SimSun" w:hAnsi="Calibri" w:cs="Times New Roman"/>
          <w:b/>
          <w:sz w:val="24"/>
          <w:szCs w:val="24"/>
          <w:lang w:val="ru-RU" w:eastAsia="zh-CN"/>
        </w:rPr>
        <w:t>0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0</w:t>
      </w:r>
      <w:r w:rsidR="003E77EA">
        <w:rPr>
          <w:rFonts w:ascii="Calibri" w:eastAsia="SimSun" w:hAnsi="Calibri" w:cs="Times New Roman"/>
          <w:b/>
          <w:sz w:val="24"/>
          <w:szCs w:val="24"/>
          <w:lang w:eastAsia="zh-CN"/>
        </w:rPr>
        <w:t>9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>.202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</w:t>
      </w:r>
      <w:r w:rsidR="007F37A7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</w:t>
      </w:r>
    </w:p>
    <w:p w14:paraId="289077AC" w14:textId="77777777" w:rsidR="00C8050C" w:rsidRPr="00C8050C" w:rsidRDefault="00C8050C" w:rsidP="00C8050C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4715EC9" w14:textId="24D51BB8" w:rsidR="00C8050C" w:rsidRDefault="00416CDB" w:rsidP="00C8050C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416CDB">
        <w:rPr>
          <w:rFonts w:ascii="Calibri" w:eastAsia="SimSun" w:hAnsi="Calibri" w:cs="Times New Roman"/>
          <w:sz w:val="24"/>
          <w:szCs w:val="24"/>
          <w:lang w:eastAsia="zh-CN"/>
        </w:rPr>
        <w:t xml:space="preserve">През </w:t>
      </w:r>
      <w:r w:rsidR="003E77EA">
        <w:rPr>
          <w:rFonts w:ascii="Calibri" w:eastAsia="SimSun" w:hAnsi="Calibri" w:cs="Times New Roman"/>
          <w:sz w:val="24"/>
          <w:szCs w:val="24"/>
          <w:lang w:eastAsia="zh-CN"/>
        </w:rPr>
        <w:t>трето</w:t>
      </w:r>
      <w:r w:rsidR="00831608">
        <w:rPr>
          <w:rFonts w:ascii="Calibri" w:eastAsia="SimSun" w:hAnsi="Calibri" w:cs="Times New Roman"/>
          <w:sz w:val="24"/>
          <w:szCs w:val="24"/>
          <w:lang w:eastAsia="zh-CN"/>
        </w:rPr>
        <w:t>то</w:t>
      </w:r>
      <w:r>
        <w:rPr>
          <w:rFonts w:ascii="Calibri" w:eastAsia="SimSun" w:hAnsi="Calibri" w:cs="Times New Roman"/>
          <w:sz w:val="24"/>
          <w:szCs w:val="24"/>
          <w:lang w:eastAsia="zh-CN"/>
        </w:rPr>
        <w:t xml:space="preserve"> </w:t>
      </w:r>
      <w:r w:rsidRPr="00416CDB">
        <w:rPr>
          <w:rFonts w:ascii="Calibri" w:eastAsia="SimSun" w:hAnsi="Calibri" w:cs="Times New Roman"/>
          <w:sz w:val="24"/>
          <w:szCs w:val="24"/>
          <w:lang w:eastAsia="zh-CN"/>
        </w:rPr>
        <w:t xml:space="preserve"> тримесечие на 202</w:t>
      </w:r>
      <w:r w:rsidR="00536BDE">
        <w:rPr>
          <w:rFonts w:ascii="Calibri" w:eastAsia="SimSun" w:hAnsi="Calibri" w:cs="Times New Roman"/>
          <w:sz w:val="24"/>
          <w:szCs w:val="24"/>
          <w:lang w:eastAsia="zh-CN"/>
        </w:rPr>
        <w:t>2</w:t>
      </w:r>
      <w:r w:rsidRPr="00416CDB">
        <w:rPr>
          <w:rFonts w:ascii="Calibri" w:eastAsia="SimSun" w:hAnsi="Calibri" w:cs="Times New Roman"/>
          <w:sz w:val="24"/>
          <w:szCs w:val="24"/>
          <w:lang w:eastAsia="zh-CN"/>
        </w:rPr>
        <w:t xml:space="preserve"> г. Дружеството няма сключени договори за секюритизирано вземане.</w:t>
      </w:r>
    </w:p>
    <w:p w14:paraId="4607897F" w14:textId="77777777" w:rsidR="005A6E0D" w:rsidRDefault="005A6E0D" w:rsidP="00DE1CC0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CB83968" w14:textId="62E51A63" w:rsidR="00020A70" w:rsidRPr="00C8050C" w:rsidRDefault="00020A70" w:rsidP="00DE1CC0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Влияние на горепосочените събития върху резултатите във финансовия отчет.</w:t>
      </w:r>
    </w:p>
    <w:p w14:paraId="227F351B" w14:textId="77777777" w:rsidR="00A63C6C" w:rsidRDefault="00A63C6C" w:rsidP="00E3678A">
      <w:pPr>
        <w:spacing w:after="0" w:line="240" w:lineRule="auto"/>
        <w:ind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/>
        </w:rPr>
      </w:pPr>
    </w:p>
    <w:p w14:paraId="05251CFC" w14:textId="628E0A50" w:rsidR="00020A70" w:rsidRDefault="00A63C6C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>
        <w:rPr>
          <w:rFonts w:ascii="Calibri" w:eastAsia="SimSun" w:hAnsi="Calibri" w:cs="Times New Roman"/>
          <w:i/>
          <w:sz w:val="24"/>
          <w:szCs w:val="24"/>
          <w:lang w:eastAsia="zh-CN"/>
        </w:rPr>
        <w:tab/>
      </w:r>
      <w:r w:rsidR="00405248">
        <w:rPr>
          <w:rFonts w:ascii="Calibri" w:eastAsia="SimSun" w:hAnsi="Calibri" w:cs="Times New Roman"/>
          <w:sz w:val="24"/>
          <w:szCs w:val="24"/>
          <w:lang w:eastAsia="zh-CN"/>
        </w:rPr>
        <w:t xml:space="preserve">През настоящото </w:t>
      </w:r>
      <w:r w:rsidR="000204F2">
        <w:rPr>
          <w:rFonts w:ascii="Calibri" w:eastAsia="SimSun" w:hAnsi="Calibri" w:cs="Times New Roman"/>
          <w:sz w:val="24"/>
          <w:szCs w:val="24"/>
          <w:lang w:eastAsia="zh-CN"/>
        </w:rPr>
        <w:t>три</w:t>
      </w:r>
      <w:r w:rsidR="00405248">
        <w:rPr>
          <w:rFonts w:ascii="Calibri" w:eastAsia="SimSun" w:hAnsi="Calibri" w:cs="Times New Roman"/>
          <w:sz w:val="24"/>
          <w:szCs w:val="24"/>
          <w:lang w:eastAsia="zh-CN"/>
        </w:rPr>
        <w:t xml:space="preserve">месечие Дружеството продължи </w:t>
      </w:r>
      <w:r w:rsidR="00651422">
        <w:rPr>
          <w:rFonts w:ascii="Calibri" w:eastAsia="SimSun" w:hAnsi="Calibri" w:cs="Times New Roman"/>
          <w:sz w:val="24"/>
          <w:szCs w:val="24"/>
          <w:lang w:eastAsia="zh-CN"/>
        </w:rPr>
        <w:t>усилията си за придобиване вземания</w:t>
      </w:r>
      <w:r w:rsidR="00405248">
        <w:rPr>
          <w:rFonts w:ascii="Calibri" w:eastAsia="SimSun" w:hAnsi="Calibri" w:cs="Times New Roman"/>
          <w:sz w:val="24"/>
          <w:szCs w:val="24"/>
          <w:lang w:eastAsia="zh-CN"/>
        </w:rPr>
        <w:t xml:space="preserve">. </w:t>
      </w:r>
      <w:r w:rsidR="00091157">
        <w:rPr>
          <w:rFonts w:ascii="Calibri" w:eastAsia="SimSun" w:hAnsi="Calibri" w:cs="Times New Roman"/>
          <w:sz w:val="24"/>
          <w:szCs w:val="24"/>
          <w:lang w:eastAsia="zh-CN"/>
        </w:rPr>
        <w:t xml:space="preserve">Негативно влияние пред дейността на Дружеството продължава да оказва кризата породена от разпространението на </w:t>
      </w:r>
      <w:r w:rsidR="00091157">
        <w:rPr>
          <w:rFonts w:ascii="Calibri" w:eastAsia="SimSun" w:hAnsi="Calibri" w:cs="Times New Roman"/>
          <w:sz w:val="24"/>
          <w:szCs w:val="24"/>
          <w:lang w:val="en-US" w:eastAsia="zh-CN"/>
        </w:rPr>
        <w:t>COVID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/>
        </w:rPr>
        <w:t>-19</w:t>
      </w:r>
      <w:r w:rsidR="00091157">
        <w:rPr>
          <w:rFonts w:ascii="Calibri" w:eastAsia="SimSun" w:hAnsi="Calibri" w:cs="Times New Roman"/>
          <w:sz w:val="24"/>
          <w:szCs w:val="24"/>
          <w:lang w:eastAsia="zh-CN"/>
        </w:rPr>
        <w:t xml:space="preserve"> и наложените във връзка с това рестрикции. Очакванията на мениджмънта са, че отминаването на поредната вълна на кризата и </w:t>
      </w:r>
      <w:r w:rsid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отмяната на </w:t>
      </w:r>
      <w:r w:rsidR="00D30D61" w:rsidRPr="00D30D61">
        <w:rPr>
          <w:rFonts w:ascii="Calibri" w:eastAsia="SimSun" w:hAnsi="Calibri" w:cs="Times New Roman"/>
          <w:sz w:val="24"/>
          <w:szCs w:val="24"/>
          <w:lang w:eastAsia="zh-CN"/>
        </w:rPr>
        <w:t>извънредна</w:t>
      </w:r>
      <w:r w:rsid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та </w:t>
      </w:r>
      <w:r w:rsidR="00D30D61" w:rsidRP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 епидемична обстановка</w:t>
      </w:r>
      <w:r w:rsid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 считано от 01 април 2022 г.</w:t>
      </w:r>
      <w:r w:rsidR="00091157">
        <w:rPr>
          <w:rFonts w:ascii="Calibri" w:eastAsia="SimSun" w:hAnsi="Calibri" w:cs="Times New Roman"/>
          <w:sz w:val="24"/>
          <w:szCs w:val="24"/>
          <w:lang w:eastAsia="zh-CN"/>
        </w:rPr>
        <w:t xml:space="preserve">, ще доведе до нормализиране на икономическата среда в страната, което неминуемо ще повлияе положително и на дейността на </w:t>
      </w:r>
      <w:bookmarkStart w:id="1" w:name="_Hlk94087914"/>
      <w:r w:rsidR="00651422" w:rsidRPr="00651422">
        <w:rPr>
          <w:rFonts w:ascii="Calibri" w:eastAsia="SimSun" w:hAnsi="Calibri" w:cs="Times New Roman"/>
          <w:sz w:val="24"/>
          <w:szCs w:val="24"/>
          <w:lang w:eastAsia="zh-CN"/>
        </w:rPr>
        <w:t>„Компас Фонд за вземания“ АДСИЦ</w:t>
      </w:r>
      <w:bookmarkEnd w:id="1"/>
      <w:r w:rsidR="00091157">
        <w:rPr>
          <w:rFonts w:ascii="Calibri" w:eastAsia="SimSun" w:hAnsi="Calibri" w:cs="Times New Roman"/>
          <w:sz w:val="24"/>
          <w:szCs w:val="24"/>
          <w:lang w:eastAsia="zh-CN"/>
        </w:rPr>
        <w:t>.</w:t>
      </w:r>
    </w:p>
    <w:p w14:paraId="71A98B2C" w14:textId="03417323" w:rsidR="00720F48" w:rsidRPr="00720F48" w:rsidRDefault="00720F48" w:rsidP="00720F48">
      <w:pPr>
        <w:tabs>
          <w:tab w:val="left" w:pos="567"/>
        </w:tabs>
        <w:jc w:val="both"/>
        <w:rPr>
          <w:rFonts w:eastAsia="Times New Roman" w:cstheme="minorHAnsi"/>
          <w:color w:val="FF0000"/>
          <w:sz w:val="24"/>
          <w:szCs w:val="24"/>
          <w:lang w:eastAsia="ar-SA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Pr="00720F48">
        <w:rPr>
          <w:rFonts w:eastAsia="SimSun" w:cstheme="minorHAnsi"/>
          <w:sz w:val="24"/>
          <w:szCs w:val="24"/>
          <w:lang w:eastAsia="zh-CN"/>
        </w:rPr>
        <w:t xml:space="preserve">От друга страна, </w:t>
      </w:r>
      <w:bookmarkStart w:id="2" w:name="_Hlk97285953"/>
      <w:r w:rsidRPr="00720F48">
        <w:rPr>
          <w:rFonts w:eastAsia="SimSun" w:cstheme="minorHAnsi"/>
          <w:sz w:val="24"/>
          <w:szCs w:val="24"/>
          <w:lang w:eastAsia="zh-CN"/>
        </w:rPr>
        <w:t>н</w:t>
      </w:r>
      <w:r w:rsidRPr="00720F48">
        <w:rPr>
          <w:rFonts w:eastAsia="Times New Roman" w:cstheme="minorHAnsi"/>
          <w:sz w:val="24"/>
          <w:szCs w:val="24"/>
          <w:lang w:eastAsia="ar-SA"/>
        </w:rPr>
        <w:t>а 24 февруари 2022 г. Руската Федерация започна военна инвазия в Украйна. В резултат на тези действия на Русия бяха наложени редица различни икономически и финансови санкции от Европейския съюз и други страни. Очакванията са в средносрочен и дългосрочен план те да имат всеобхватен негативен ефект и върху световната икономика и различни сфери на обществения живот. Ситуацията е много динамична и непредсказуема и потенциално всеобхватна, поради което на този етап на практика Ръководството на Дружеството не е в състояние да направи надеждна прогноза за потенциалното количествено въздействие на военната криза.</w:t>
      </w:r>
      <w:bookmarkEnd w:id="2"/>
    </w:p>
    <w:p w14:paraId="7E2E8556" w14:textId="104D17CA" w:rsidR="00720F48" w:rsidRPr="00091157" w:rsidRDefault="00720F48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7BD5B0A8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/>
        </w:rPr>
      </w:pPr>
    </w:p>
    <w:p w14:paraId="4FE71750" w14:textId="77777777" w:rsidR="00020A70" w:rsidRPr="00A63C6C" w:rsidRDefault="00020A70" w:rsidP="00A63C6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A63C6C">
        <w:rPr>
          <w:rFonts w:ascii="Calibri" w:eastAsia="SimSun" w:hAnsi="Calibri" w:cs="Times New Roman"/>
          <w:b/>
          <w:sz w:val="24"/>
          <w:szCs w:val="24"/>
          <w:lang w:eastAsia="zh-CN"/>
        </w:rPr>
        <w:t>Рискове и несигурности, пред които е изправено Дружеството до края на финансовата година</w:t>
      </w:r>
      <w:r w:rsidR="00A63C6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</w:p>
    <w:p w14:paraId="6F7642AF" w14:textId="77777777" w:rsidR="00020A70" w:rsidRPr="0044096E" w:rsidRDefault="00020A70" w:rsidP="00020A70">
      <w:pPr>
        <w:spacing w:after="0" w:line="240" w:lineRule="auto"/>
        <w:jc w:val="both"/>
        <w:rPr>
          <w:rFonts w:ascii="Calibri" w:eastAsia="SimSun" w:hAnsi="Calibri" w:cs="Times New Roman"/>
          <w:b/>
          <w:i/>
          <w:sz w:val="24"/>
          <w:szCs w:val="24"/>
          <w:lang w:eastAsia="zh-CN"/>
        </w:rPr>
      </w:pPr>
    </w:p>
    <w:p w14:paraId="26E91F9F" w14:textId="77777777" w:rsidR="00020A70" w:rsidRPr="00A63C6C" w:rsidRDefault="00020A70" w:rsidP="00A63C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</w:pPr>
      <w:bookmarkStart w:id="3" w:name="bookmark5"/>
      <w:r w:rsidRPr="00A63C6C"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  <w:t>Управление на риска</w:t>
      </w:r>
      <w:bookmarkEnd w:id="3"/>
    </w:p>
    <w:p w14:paraId="586EEDE7" w14:textId="77777777" w:rsidR="00FB4E82" w:rsidRDefault="00FB4E82" w:rsidP="00BD2B62">
      <w:pPr>
        <w:spacing w:after="0" w:line="240" w:lineRule="auto"/>
        <w:ind w:firstLine="284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32A99A46" w14:textId="77777777" w:rsidR="00020A70" w:rsidRDefault="00A63C6C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Управлението на риска е неразделна част от политиката по управление на </w:t>
      </w:r>
      <w:r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t>ружеството, тъй като е свързано с доверието на инвеститорите.</w:t>
      </w:r>
    </w:p>
    <w:p w14:paraId="2F9043BA" w14:textId="77777777" w:rsidR="00A63C6C" w:rsidRPr="005F26F0" w:rsidRDefault="00A63C6C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7566924" w14:textId="18264753" w:rsidR="00020A70" w:rsidRPr="0044096E" w:rsidRDefault="00A63C6C" w:rsidP="00651422">
      <w:pPr>
        <w:spacing w:after="0" w:line="240" w:lineRule="auto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="00651422" w:rsidRPr="00651422">
        <w:rPr>
          <w:rFonts w:ascii="Calibri" w:eastAsia="SimSun" w:hAnsi="Calibri" w:cs="Times New Roman"/>
          <w:sz w:val="24"/>
          <w:szCs w:val="24"/>
          <w:lang w:eastAsia="zh-CN"/>
        </w:rPr>
        <w:t>Дейността на Дружеството е съсредоточена в инвестиране на парични средства, набирани чрез емитиранене на ценни книжа, във вземания (секюритизация на вземания) и е контролирана от КФН. Съгласно ЗДСИЦДС, Дружеството оперира единствено и само в сектора за секюритизация на вземания.  Върху тази специфична и силно ограничена дейност влияят множество рискови фактори.</w:t>
      </w:r>
    </w:p>
    <w:p w14:paraId="290C62F2" w14:textId="77777777" w:rsidR="00020A70" w:rsidRPr="00A63C6C" w:rsidRDefault="00020A70" w:rsidP="00A63C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</w:pPr>
      <w:bookmarkStart w:id="4" w:name="bookmark6"/>
      <w:r w:rsidRPr="00A63C6C"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  <w:t>Систематични или „Общи” рискове</w:t>
      </w:r>
      <w:bookmarkEnd w:id="4"/>
    </w:p>
    <w:p w14:paraId="5B3CA1B9" w14:textId="77777777" w:rsidR="00FB4E82" w:rsidRDefault="00FB4E82" w:rsidP="00FB4E8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40151ECF" w14:textId="77777777" w:rsidR="00020A70" w:rsidRPr="005F26F0" w:rsidRDefault="00A63C6C" w:rsidP="00FB4E82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Систематичните рискове са тези, които действат извън емитента и оказват ключово влияние върху дейността и състоянието му. Те са свързани със състоянието на </w:t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lastRenderedPageBreak/>
        <w:t>макроикономическата среда, политическата стабилност и процеси, регионалното развитие и др. Емитентът не би могъл да влияе върху тях, но може да ги отчете и да се съобразява с тях.</w:t>
      </w:r>
    </w:p>
    <w:p w14:paraId="054BB48F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445A7EC2" w14:textId="77777777" w:rsidR="00020A70" w:rsidRPr="00FB4E82" w:rsidRDefault="00020A70" w:rsidP="00A63C6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B4E82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Политическият риск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отразява влиянието на политическите процеси в страната върху стопанския и инвестиционния процес и в частност върху възвращаемостта на инвестициите. Независимо от членството ни в ЕС, политическите процеси в страната не благоприятстват инвестициите и създават непредсказуема бизнес среда.</w:t>
      </w:r>
    </w:p>
    <w:p w14:paraId="5EBDA3C7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537E1CAF" w14:textId="2C4D949F" w:rsidR="00851DF5" w:rsidRPr="004B24BF" w:rsidRDefault="00020A70" w:rsidP="00754652">
      <w:pPr>
        <w:pStyle w:val="ListParagraph"/>
        <w:numPr>
          <w:ilvl w:val="0"/>
          <w:numId w:val="23"/>
        </w:numPr>
        <w:spacing w:after="0" w:line="240" w:lineRule="auto"/>
        <w:ind w:firstLine="708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4B24BF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Макроикономическият риск</w:t>
      </w:r>
      <w:r w:rsidRPr="004B24BF">
        <w:rPr>
          <w:rFonts w:ascii="Calibri" w:eastAsia="SimSun" w:hAnsi="Calibri" w:cs="Times New Roman"/>
          <w:sz w:val="24"/>
          <w:szCs w:val="24"/>
          <w:lang w:eastAsia="zh-CN"/>
        </w:rPr>
        <w:t xml:space="preserve"> се характеризира чрез основните макроикономически индикатори - брутен вътрешен продукт, валутни курсове, лихвени равнища, инфлация, бюджетен дефицит, безработица и др. Лихвените равнища не се отразиха пряко върху дейността на </w:t>
      </w:r>
      <w:r w:rsidR="00FE5C86" w:rsidRPr="004B24BF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4B24BF">
        <w:rPr>
          <w:rFonts w:ascii="Calibri" w:eastAsia="SimSun" w:hAnsi="Calibri" w:cs="Times New Roman"/>
          <w:sz w:val="24"/>
          <w:szCs w:val="24"/>
          <w:lang w:eastAsia="zh-CN"/>
        </w:rPr>
        <w:t xml:space="preserve">ружеството, тъй като не е използвало банкови кредити. </w:t>
      </w:r>
    </w:p>
    <w:p w14:paraId="281F37D9" w14:textId="5E08BE64" w:rsidR="00DB30FC" w:rsidRPr="00FB4E82" w:rsidRDefault="00DB30FC" w:rsidP="00A63C6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B4E82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Риск от пандемии и други форсмажорни обстоятелства</w:t>
      </w:r>
      <w:r w:rsidR="00A63C6C">
        <w:rPr>
          <w:rFonts w:ascii="Calibri" w:eastAsia="SimSun" w:hAnsi="Calibri" w:cs="Times New Roman"/>
          <w:sz w:val="24"/>
          <w:szCs w:val="24"/>
          <w:lang w:eastAsia="zh-CN"/>
        </w:rPr>
        <w:t>.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Този риск е особено актуален през текущия </w:t>
      </w:r>
      <w:r w:rsidR="007C5B2E">
        <w:rPr>
          <w:rFonts w:ascii="Calibri" w:eastAsia="SimSun" w:hAnsi="Calibri" w:cs="Times New Roman"/>
          <w:sz w:val="24"/>
          <w:szCs w:val="24"/>
          <w:lang w:eastAsia="zh-CN"/>
        </w:rPr>
        <w:t>три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>месечен период и</w:t>
      </w:r>
      <w:r w:rsidR="00CF453F"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от началото на месец март 2020 г., като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доведе до съществено влошаване на инвестиционната среда. Вероятно и за в бъдеще ще оказва негативен ефект върху дейността на Дружеството.</w:t>
      </w:r>
    </w:p>
    <w:p w14:paraId="50AE443E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487CD225" w14:textId="77777777" w:rsidR="00020A70" w:rsidRPr="00A63C6C" w:rsidRDefault="00020A70" w:rsidP="00A63C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</w:pPr>
      <w:bookmarkStart w:id="5" w:name="bookmark7"/>
      <w:r w:rsidRPr="00A63C6C"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  <w:t>Несистематични рискове</w:t>
      </w:r>
      <w:bookmarkEnd w:id="5"/>
    </w:p>
    <w:p w14:paraId="7796A430" w14:textId="77777777" w:rsidR="00FB4E82" w:rsidRDefault="00FB4E82" w:rsidP="00FB4E8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6925C1F7" w14:textId="1C6F4BA1" w:rsidR="00020A70" w:rsidRPr="005F26F0" w:rsidRDefault="00020A70" w:rsidP="00FB4E82">
      <w:pPr>
        <w:spacing w:after="0" w:line="240" w:lineRule="auto"/>
        <w:ind w:firstLine="644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5F26F0">
        <w:rPr>
          <w:rFonts w:ascii="Calibri" w:eastAsia="SimSun" w:hAnsi="Calibri" w:cs="Times New Roman"/>
          <w:sz w:val="24"/>
          <w:szCs w:val="24"/>
          <w:lang w:eastAsia="zh-CN"/>
        </w:rPr>
        <w:t>Несистематичните рискове с</w:t>
      </w:r>
      <w:r w:rsidR="00F43F9F">
        <w:rPr>
          <w:rFonts w:ascii="Calibri" w:eastAsia="SimSun" w:hAnsi="Calibri" w:cs="Times New Roman"/>
          <w:sz w:val="24"/>
          <w:szCs w:val="24"/>
          <w:lang w:eastAsia="zh-CN"/>
        </w:rPr>
        <w:t xml:space="preserve">а фирмени рискове, върху които </w:t>
      </w:r>
      <w:r w:rsidR="003A467D" w:rsidRPr="003A467D">
        <w:rPr>
          <w:rFonts w:ascii="Calibri" w:eastAsia="SimSun" w:hAnsi="Calibri" w:cs="Times New Roman"/>
          <w:sz w:val="24"/>
          <w:szCs w:val="24"/>
          <w:lang w:eastAsia="zh-CN"/>
        </w:rPr>
        <w:t>„Компас Фонд за вземания“ АДСИЦ</w:t>
      </w:r>
      <w:r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 има пряк контрол. В зависимост от пораждащите ги фактори несистематичните рискове се разделят на секторен (отраслов) риск, касаещ несигурността в развитието на отрасъла като цяло и </w:t>
      </w:r>
      <w:r w:rsidR="00886E2C" w:rsidRPr="005F26F0">
        <w:rPr>
          <w:rFonts w:ascii="Calibri" w:eastAsia="SimSun" w:hAnsi="Calibri" w:cs="Times New Roman"/>
          <w:sz w:val="24"/>
          <w:szCs w:val="24"/>
          <w:lang w:eastAsia="zh-CN"/>
        </w:rPr>
        <w:t>общо фирмен</w:t>
      </w:r>
      <w:r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 риск, който обединява бизнес риска и финансовия риск.</w:t>
      </w:r>
    </w:p>
    <w:p w14:paraId="688F1CBC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554E49BD" w14:textId="77777777" w:rsidR="00020A70" w:rsidRPr="00FE5C86" w:rsidRDefault="00020A70" w:rsidP="00A63C6C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E5C86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Секторният риск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 се поражда от влиянието на търсенето и предлагането на услуги по управление на инвестициите, поведението на мениджмънта, конкуренцията на външни и вътрешни доставчици.</w:t>
      </w:r>
    </w:p>
    <w:p w14:paraId="376FB1A6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52FF0CEA" w14:textId="52C7BD32" w:rsidR="00020A70" w:rsidRDefault="00020A70" w:rsidP="00A63C6C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E5C86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Бизнес рискът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 е свързан със специфичната дейност на </w:t>
      </w:r>
      <w:r w:rsidR="00FE5C86" w:rsidRPr="00FE5C86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ружеството и отразява несигурността от получаване на приходи и формиране на положителен финансов резултат. Управлението на бизнес риска по посока на неговото минимизиране за </w:t>
      </w:r>
      <w:r w:rsidR="008D44A7" w:rsidRPr="008D44A7">
        <w:rPr>
          <w:rFonts w:ascii="Calibri" w:eastAsia="SimSun" w:hAnsi="Calibri" w:cs="Times New Roman"/>
          <w:sz w:val="24"/>
          <w:szCs w:val="24"/>
          <w:lang w:eastAsia="zh-CN"/>
        </w:rPr>
        <w:t xml:space="preserve">„Компас Фонд за вземания“ АДСИЦ 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>е в следните направления:</w:t>
      </w:r>
    </w:p>
    <w:p w14:paraId="01205383" w14:textId="5C23B5BB" w:rsidR="00020A70" w:rsidRDefault="00A63C6C" w:rsidP="00A63C6C">
      <w:pPr>
        <w:pStyle w:val="ListParagraph"/>
        <w:spacing w:after="0" w:line="240" w:lineRule="auto"/>
        <w:ind w:left="0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  <w:t xml:space="preserve">– </w:t>
      </w:r>
      <w:r w:rsidR="00223AEC" w:rsidRPr="00223AEC">
        <w:rPr>
          <w:rFonts w:ascii="Calibri" w:eastAsia="SimSun" w:hAnsi="Calibri" w:cs="Times New Roman"/>
          <w:sz w:val="24"/>
          <w:szCs w:val="24"/>
          <w:lang w:eastAsia="zh-CN" w:bidi="bg-BG"/>
        </w:rPr>
        <w:t>задълбочено проучване на длъжника; забраната за придобиване на вземания, които са предмет на правен спор, принудително изпълнение, или са заложени в полза на трети лица; сключване на застраховка за рискът от неплащане; включване на такси и неустойки, както при предсрочно плащане, така и при забава в плащанията; изискване на допълнителни гаранции и обезпечения. Към момента във вземанията на Дружеството не може да бъде установен значителен кредитен риск;</w:t>
      </w:r>
    </w:p>
    <w:p w14:paraId="6BE9CE51" w14:textId="77777777" w:rsidR="00020A70" w:rsidRPr="005F26F0" w:rsidRDefault="00A63C6C" w:rsidP="00A63C6C">
      <w:pPr>
        <w:pStyle w:val="ListParagraph"/>
        <w:spacing w:after="0" w:line="240" w:lineRule="auto"/>
        <w:ind w:left="0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  <w:t xml:space="preserve">– </w:t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предпазливост при в</w:t>
      </w:r>
      <w:r w:rsidR="00FE5C86">
        <w:rPr>
          <w:rFonts w:ascii="Calibri" w:eastAsia="SimSun" w:hAnsi="Calibri" w:cs="Times New Roman"/>
          <w:sz w:val="24"/>
          <w:szCs w:val="24"/>
          <w:lang w:eastAsia="zh-CN" w:bidi="bg-BG"/>
        </w:rPr>
        <w:t>земане на решения за инвестиции.</w:t>
      </w:r>
    </w:p>
    <w:p w14:paraId="039CE986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35B762F7" w14:textId="77777777" w:rsidR="00020A70" w:rsidRDefault="00020A70" w:rsidP="00A63C6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E5C86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Финансовият риск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 показва допълнителна несигурност на кредиторите за получаване на техните вземания в случаи, когато </w:t>
      </w:r>
      <w:r w:rsidR="00FE5C86" w:rsidRPr="00FE5C86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>ружеството използва привлечени или заемни средства. Като основни измерители на финансовия риск се използват показателите за финансовата автономност и коефициент на задлъжнялост.</w:t>
      </w:r>
    </w:p>
    <w:p w14:paraId="575C7ACA" w14:textId="77777777" w:rsidR="00A63C6C" w:rsidRPr="00FE5C86" w:rsidRDefault="00A63C6C" w:rsidP="00A63C6C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11DF8827" w14:textId="77777777" w:rsidR="00020A70" w:rsidRPr="00A63C6C" w:rsidRDefault="00020A70" w:rsidP="00A63C6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A63C6C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Ликвидните рискове</w:t>
      </w:r>
      <w:r w:rsidRPr="00A63C6C">
        <w:rPr>
          <w:rFonts w:ascii="Calibri" w:eastAsia="SimSun" w:hAnsi="Calibri" w:cs="Times New Roman"/>
          <w:sz w:val="24"/>
          <w:szCs w:val="24"/>
          <w:lang w:eastAsia="zh-CN"/>
        </w:rPr>
        <w:t xml:space="preserve"> са свързани  с възможността </w:t>
      </w:r>
      <w:r w:rsidR="00FE5C86" w:rsidRPr="00A63C6C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A63C6C">
        <w:rPr>
          <w:rFonts w:ascii="Calibri" w:eastAsia="SimSun" w:hAnsi="Calibri" w:cs="Times New Roman"/>
          <w:sz w:val="24"/>
          <w:szCs w:val="24"/>
          <w:lang w:eastAsia="zh-CN"/>
        </w:rPr>
        <w:t>ружеството да не погаси в договорения размер или в срок свои финансови задължения.</w:t>
      </w:r>
    </w:p>
    <w:p w14:paraId="477701CE" w14:textId="77777777" w:rsidR="00F62E5A" w:rsidRPr="0044096E" w:rsidRDefault="00F62E5A" w:rsidP="00D0424E">
      <w:pPr>
        <w:spacing w:after="0" w:line="240" w:lineRule="auto"/>
        <w:jc w:val="both"/>
        <w:rPr>
          <w:rFonts w:ascii="Calibri" w:eastAsia="SimSun" w:hAnsi="Calibri" w:cs="Times New Roman"/>
          <w:i/>
          <w:sz w:val="24"/>
          <w:szCs w:val="24"/>
          <w:lang w:eastAsia="zh-CN"/>
        </w:rPr>
      </w:pPr>
    </w:p>
    <w:p w14:paraId="3B8D1A2C" w14:textId="77777777" w:rsidR="00020A70" w:rsidRPr="00A63C6C" w:rsidRDefault="00020A70" w:rsidP="00A63C6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A63C6C">
        <w:rPr>
          <w:rFonts w:ascii="Calibri" w:eastAsia="SimSun" w:hAnsi="Calibri" w:cs="Times New Roman"/>
          <w:b/>
          <w:sz w:val="24"/>
          <w:szCs w:val="24"/>
          <w:lang w:eastAsia="zh-CN"/>
        </w:rPr>
        <w:t>Информация за сделки между Дружеството и свързани лица</w:t>
      </w:r>
      <w:r w:rsidR="00A63C6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</w:p>
    <w:p w14:paraId="2F31D7C3" w14:textId="77777777" w:rsidR="00FE5C86" w:rsidRPr="00FE5C86" w:rsidRDefault="00FE5C86" w:rsidP="00FE5C86">
      <w:pPr>
        <w:spacing w:after="0" w:line="240" w:lineRule="auto"/>
        <w:ind w:left="720"/>
        <w:jc w:val="both"/>
        <w:rPr>
          <w:rFonts w:ascii="Calibri" w:eastAsia="SimSun" w:hAnsi="Calibri" w:cs="Times New Roman"/>
          <w:b/>
          <w:i/>
          <w:sz w:val="24"/>
          <w:szCs w:val="24"/>
          <w:lang w:eastAsia="zh-CN"/>
        </w:rPr>
      </w:pPr>
    </w:p>
    <w:p w14:paraId="262F1C26" w14:textId="77777777" w:rsidR="00FE5C86" w:rsidRDefault="00020A70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66475E">
        <w:rPr>
          <w:rFonts w:ascii="Calibri" w:eastAsia="SimSun" w:hAnsi="Calibri" w:cs="Times New Roman"/>
          <w:sz w:val="24"/>
          <w:szCs w:val="24"/>
          <w:lang w:eastAsia="zh-CN"/>
        </w:rPr>
        <w:t xml:space="preserve">През отчетния период </w:t>
      </w:r>
      <w:r w:rsidR="00A900A1" w:rsidRPr="0066475E">
        <w:rPr>
          <w:rFonts w:ascii="Calibri" w:eastAsia="SimSun" w:hAnsi="Calibri" w:cs="Times New Roman"/>
          <w:sz w:val="24"/>
          <w:szCs w:val="24"/>
          <w:lang w:eastAsia="zh-CN"/>
        </w:rPr>
        <w:t xml:space="preserve">Дружеството </w:t>
      </w:r>
      <w:r w:rsidR="0066475E" w:rsidRPr="0066475E">
        <w:rPr>
          <w:rFonts w:ascii="Calibri" w:eastAsia="SimSun" w:hAnsi="Calibri" w:cs="Times New Roman"/>
          <w:sz w:val="24"/>
          <w:szCs w:val="24"/>
          <w:lang w:eastAsia="zh-CN"/>
        </w:rPr>
        <w:t>не е осъществявало сделки със</w:t>
      </w:r>
      <w:r w:rsidR="00890401" w:rsidRPr="0066475E">
        <w:rPr>
          <w:rFonts w:ascii="Calibri" w:eastAsia="SimSun" w:hAnsi="Calibri" w:cs="Times New Roman"/>
          <w:sz w:val="24"/>
          <w:szCs w:val="24"/>
          <w:lang w:eastAsia="zh-CN"/>
        </w:rPr>
        <w:t xml:space="preserve"> свързани лица.</w:t>
      </w:r>
    </w:p>
    <w:p w14:paraId="78579C24" w14:textId="77777777" w:rsidR="00FE5C86" w:rsidRDefault="00FE5C86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40E1613" w14:textId="77777777" w:rsidR="00FE5C86" w:rsidRDefault="00FE5C86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3B71C0A0" w14:textId="77777777" w:rsidR="00FE5C86" w:rsidRDefault="00FE5C86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15F79F48" w14:textId="441AB72B" w:rsidR="00020A70" w:rsidRPr="007040AA" w:rsidRDefault="007C5B2E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b/>
          <w:sz w:val="24"/>
          <w:szCs w:val="24"/>
          <w:lang w:val="ru-RU" w:eastAsia="zh-CN"/>
        </w:rPr>
      </w:pP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3E77EA">
        <w:rPr>
          <w:rFonts w:ascii="Calibri" w:eastAsia="SimSun" w:hAnsi="Calibri" w:cs="Times New Roman"/>
          <w:b/>
          <w:sz w:val="24"/>
          <w:szCs w:val="24"/>
          <w:lang w:eastAsia="zh-CN"/>
        </w:rPr>
        <w:t>4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3E77EA">
        <w:rPr>
          <w:rFonts w:ascii="Calibri" w:eastAsia="SimSun" w:hAnsi="Calibri" w:cs="Times New Roman"/>
          <w:b/>
          <w:sz w:val="24"/>
          <w:szCs w:val="24"/>
          <w:lang w:eastAsia="zh-CN"/>
        </w:rPr>
        <w:t>10</w:t>
      </w:r>
      <w:r w:rsidR="00020A70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.202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 </w:t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  <w:t xml:space="preserve">        </w:t>
      </w:r>
      <w:r w:rsidR="00020A70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Изпълнителен директор:</w:t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</w:t>
      </w:r>
      <w:r w:rsidR="00A63C6C"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>______________________</w:t>
      </w:r>
      <w:r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>___</w:t>
      </w:r>
    </w:p>
    <w:p w14:paraId="57A648DF" w14:textId="6F0181CC" w:rsidR="008D752B" w:rsidRPr="005A6E0D" w:rsidRDefault="00A63C6C" w:rsidP="00A63C6C">
      <w:pPr>
        <w:spacing w:after="0" w:line="240" w:lineRule="auto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 xml:space="preserve">      </w:t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гр. София</w:t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  <w:t xml:space="preserve">              </w:t>
      </w:r>
      <w:r w:rsidR="007C5B2E"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 xml:space="preserve">   </w:t>
      </w:r>
      <w:r w:rsidR="005A6E0D">
        <w:rPr>
          <w:rFonts w:ascii="Calibri" w:eastAsia="SimSun" w:hAnsi="Calibri" w:cs="Times New Roman"/>
          <w:b/>
          <w:sz w:val="24"/>
          <w:szCs w:val="24"/>
          <w:lang w:eastAsia="zh-CN"/>
        </w:rPr>
        <w:t>Иван Пирински</w:t>
      </w:r>
    </w:p>
    <w:sectPr w:rsidR="008D752B" w:rsidRPr="005A6E0D" w:rsidSect="0087495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82B1" w14:textId="77777777" w:rsidR="004063C8" w:rsidRDefault="004063C8" w:rsidP="004063C8">
      <w:pPr>
        <w:spacing w:after="0" w:line="240" w:lineRule="auto"/>
      </w:pPr>
      <w:r>
        <w:separator/>
      </w:r>
    </w:p>
  </w:endnote>
  <w:endnote w:type="continuationSeparator" w:id="0">
    <w:p w14:paraId="5C41D1B3" w14:textId="77777777" w:rsidR="004063C8" w:rsidRDefault="004063C8" w:rsidP="00406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99014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3D391E" w14:textId="77777777" w:rsidR="004B541A" w:rsidRDefault="004B541A" w:rsidP="008749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3F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68A4D" w14:textId="77777777" w:rsidR="004063C8" w:rsidRDefault="004063C8" w:rsidP="004063C8">
      <w:pPr>
        <w:spacing w:after="0" w:line="240" w:lineRule="auto"/>
      </w:pPr>
      <w:r>
        <w:separator/>
      </w:r>
    </w:p>
  </w:footnote>
  <w:footnote w:type="continuationSeparator" w:id="0">
    <w:p w14:paraId="373B8512" w14:textId="77777777" w:rsidR="004063C8" w:rsidRDefault="004063C8" w:rsidP="00406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93958" w14:textId="542CFA43" w:rsidR="004063C8" w:rsidRPr="007040AA" w:rsidRDefault="007040AA">
    <w:pPr>
      <w:pStyle w:val="Header"/>
      <w:rPr>
        <w:sz w:val="32"/>
        <w:szCs w:val="32"/>
      </w:rPr>
    </w:pPr>
    <w:r w:rsidRPr="007040AA">
      <w:rPr>
        <w:sz w:val="32"/>
        <w:szCs w:val="32"/>
      </w:rPr>
      <w:t>„Компас Фонд за Вземания“ АДСИЦ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3A97"/>
    <w:multiLevelType w:val="hybridMultilevel"/>
    <w:tmpl w:val="FFF6188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42982"/>
    <w:multiLevelType w:val="hybridMultilevel"/>
    <w:tmpl w:val="E372091E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DF3746"/>
    <w:multiLevelType w:val="hybridMultilevel"/>
    <w:tmpl w:val="6A48C83C"/>
    <w:lvl w:ilvl="0" w:tplc="76A069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B65CB"/>
    <w:multiLevelType w:val="hybridMultilevel"/>
    <w:tmpl w:val="9A32EF1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0C3986"/>
    <w:multiLevelType w:val="hybridMultilevel"/>
    <w:tmpl w:val="63A29A1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12737"/>
    <w:multiLevelType w:val="hybridMultilevel"/>
    <w:tmpl w:val="2F788FF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73CC9"/>
    <w:multiLevelType w:val="hybridMultilevel"/>
    <w:tmpl w:val="99803AE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2E67B2">
      <w:numFmt w:val="bullet"/>
      <w:lvlText w:val="-"/>
      <w:lvlJc w:val="left"/>
      <w:pPr>
        <w:ind w:left="1440" w:hanging="360"/>
      </w:pPr>
      <w:rPr>
        <w:rFonts w:ascii="Calibri" w:eastAsia="SimSun" w:hAnsi="Calibri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75F25"/>
    <w:multiLevelType w:val="hybridMultilevel"/>
    <w:tmpl w:val="FFA889D8"/>
    <w:lvl w:ilvl="0" w:tplc="9064C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FA5998"/>
    <w:multiLevelType w:val="hybridMultilevel"/>
    <w:tmpl w:val="A91892C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2D407C"/>
    <w:multiLevelType w:val="hybridMultilevel"/>
    <w:tmpl w:val="259E82D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86F5C"/>
    <w:multiLevelType w:val="hybridMultilevel"/>
    <w:tmpl w:val="BF860D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2739D"/>
    <w:multiLevelType w:val="hybridMultilevel"/>
    <w:tmpl w:val="A69C3AB4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CA623A"/>
    <w:multiLevelType w:val="hybridMultilevel"/>
    <w:tmpl w:val="12F804E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8203E"/>
    <w:multiLevelType w:val="hybridMultilevel"/>
    <w:tmpl w:val="68561D54"/>
    <w:lvl w:ilvl="0" w:tplc="040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1911A40"/>
    <w:multiLevelType w:val="hybridMultilevel"/>
    <w:tmpl w:val="AE84A7EA"/>
    <w:lvl w:ilvl="0" w:tplc="040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1EA7C5E"/>
    <w:multiLevelType w:val="hybridMultilevel"/>
    <w:tmpl w:val="D8142E66"/>
    <w:lvl w:ilvl="0" w:tplc="040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9B0291D"/>
    <w:multiLevelType w:val="hybridMultilevel"/>
    <w:tmpl w:val="84123A8C"/>
    <w:lvl w:ilvl="0" w:tplc="3E2466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C260B5"/>
    <w:multiLevelType w:val="hybridMultilevel"/>
    <w:tmpl w:val="1F52E0BA"/>
    <w:lvl w:ilvl="0" w:tplc="0402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55023AE"/>
    <w:multiLevelType w:val="hybridMultilevel"/>
    <w:tmpl w:val="62805B5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62328"/>
    <w:multiLevelType w:val="hybridMultilevel"/>
    <w:tmpl w:val="D2DCEFA6"/>
    <w:lvl w:ilvl="0" w:tplc="0402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DD1D1B"/>
    <w:multiLevelType w:val="hybridMultilevel"/>
    <w:tmpl w:val="9C084E28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84A3BBB"/>
    <w:multiLevelType w:val="hybridMultilevel"/>
    <w:tmpl w:val="D6C6011E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EC4255A"/>
    <w:multiLevelType w:val="hybridMultilevel"/>
    <w:tmpl w:val="479A6366"/>
    <w:lvl w:ilvl="0" w:tplc="040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3" w15:restartNumberingAfterBreak="0">
    <w:nsid w:val="72B27786"/>
    <w:multiLevelType w:val="hybridMultilevel"/>
    <w:tmpl w:val="EB70B4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ACACE988">
      <w:start w:val="4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AB6DCD"/>
    <w:multiLevelType w:val="hybridMultilevel"/>
    <w:tmpl w:val="29AE55B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658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3364">
    <w:abstractNumId w:val="1"/>
  </w:num>
  <w:num w:numId="3" w16cid:durableId="2130928069">
    <w:abstractNumId w:val="19"/>
  </w:num>
  <w:num w:numId="4" w16cid:durableId="242496258">
    <w:abstractNumId w:val="24"/>
  </w:num>
  <w:num w:numId="5" w16cid:durableId="1252816728">
    <w:abstractNumId w:val="5"/>
  </w:num>
  <w:num w:numId="6" w16cid:durableId="2104644247">
    <w:abstractNumId w:val="12"/>
  </w:num>
  <w:num w:numId="7" w16cid:durableId="695696732">
    <w:abstractNumId w:val="0"/>
  </w:num>
  <w:num w:numId="8" w16cid:durableId="215972239">
    <w:abstractNumId w:val="9"/>
  </w:num>
  <w:num w:numId="9" w16cid:durableId="660162932">
    <w:abstractNumId w:val="6"/>
  </w:num>
  <w:num w:numId="10" w16cid:durableId="479466453">
    <w:abstractNumId w:val="4"/>
  </w:num>
  <w:num w:numId="11" w16cid:durableId="1176001693">
    <w:abstractNumId w:val="7"/>
  </w:num>
  <w:num w:numId="12" w16cid:durableId="1056127309">
    <w:abstractNumId w:val="17"/>
  </w:num>
  <w:num w:numId="13" w16cid:durableId="491991743">
    <w:abstractNumId w:val="20"/>
  </w:num>
  <w:num w:numId="14" w16cid:durableId="824779450">
    <w:abstractNumId w:val="21"/>
  </w:num>
  <w:num w:numId="15" w16cid:durableId="328750988">
    <w:abstractNumId w:val="11"/>
  </w:num>
  <w:num w:numId="16" w16cid:durableId="2057660">
    <w:abstractNumId w:val="14"/>
  </w:num>
  <w:num w:numId="17" w16cid:durableId="794444187">
    <w:abstractNumId w:val="13"/>
  </w:num>
  <w:num w:numId="18" w16cid:durableId="2022507103">
    <w:abstractNumId w:val="15"/>
  </w:num>
  <w:num w:numId="19" w16cid:durableId="488135141">
    <w:abstractNumId w:val="10"/>
  </w:num>
  <w:num w:numId="20" w16cid:durableId="158547044">
    <w:abstractNumId w:val="16"/>
  </w:num>
  <w:num w:numId="21" w16cid:durableId="787970282">
    <w:abstractNumId w:val="2"/>
  </w:num>
  <w:num w:numId="22" w16cid:durableId="739401125">
    <w:abstractNumId w:val="22"/>
  </w:num>
  <w:num w:numId="23" w16cid:durableId="300429815">
    <w:abstractNumId w:val="18"/>
  </w:num>
  <w:num w:numId="24" w16cid:durableId="666330294">
    <w:abstractNumId w:val="8"/>
  </w:num>
  <w:num w:numId="25" w16cid:durableId="1235700445">
    <w:abstractNumId w:val="3"/>
  </w:num>
  <w:num w:numId="26" w16cid:durableId="47468181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587"/>
    <w:rsid w:val="00007CA2"/>
    <w:rsid w:val="0001545B"/>
    <w:rsid w:val="000204F2"/>
    <w:rsid w:val="00020A70"/>
    <w:rsid w:val="00056161"/>
    <w:rsid w:val="00091157"/>
    <w:rsid w:val="001273E0"/>
    <w:rsid w:val="00144587"/>
    <w:rsid w:val="0014753F"/>
    <w:rsid w:val="00160E81"/>
    <w:rsid w:val="001619AE"/>
    <w:rsid w:val="00166898"/>
    <w:rsid w:val="001C67D9"/>
    <w:rsid w:val="00223AEC"/>
    <w:rsid w:val="00245E01"/>
    <w:rsid w:val="00247B7E"/>
    <w:rsid w:val="002847D1"/>
    <w:rsid w:val="00293AF0"/>
    <w:rsid w:val="002A44AF"/>
    <w:rsid w:val="002F7A24"/>
    <w:rsid w:val="0032719F"/>
    <w:rsid w:val="003423FC"/>
    <w:rsid w:val="00343360"/>
    <w:rsid w:val="003763E1"/>
    <w:rsid w:val="003A3512"/>
    <w:rsid w:val="003A467D"/>
    <w:rsid w:val="003B1C32"/>
    <w:rsid w:val="003C18AB"/>
    <w:rsid w:val="003C4EC9"/>
    <w:rsid w:val="003E0809"/>
    <w:rsid w:val="003E180C"/>
    <w:rsid w:val="003E22AC"/>
    <w:rsid w:val="003E77EA"/>
    <w:rsid w:val="00405248"/>
    <w:rsid w:val="004063C8"/>
    <w:rsid w:val="00416CDB"/>
    <w:rsid w:val="0044096E"/>
    <w:rsid w:val="00452593"/>
    <w:rsid w:val="004B24BF"/>
    <w:rsid w:val="004B541A"/>
    <w:rsid w:val="004E1018"/>
    <w:rsid w:val="004F2280"/>
    <w:rsid w:val="00523CAE"/>
    <w:rsid w:val="00536BDE"/>
    <w:rsid w:val="0055604A"/>
    <w:rsid w:val="0057205A"/>
    <w:rsid w:val="00577A1E"/>
    <w:rsid w:val="00596540"/>
    <w:rsid w:val="005A6E0D"/>
    <w:rsid w:val="005A7851"/>
    <w:rsid w:val="005B4F9F"/>
    <w:rsid w:val="005B5E59"/>
    <w:rsid w:val="005E3302"/>
    <w:rsid w:val="005E3FA0"/>
    <w:rsid w:val="005F26F0"/>
    <w:rsid w:val="005F327D"/>
    <w:rsid w:val="00651422"/>
    <w:rsid w:val="0066475E"/>
    <w:rsid w:val="006774D7"/>
    <w:rsid w:val="0069154B"/>
    <w:rsid w:val="006A0D5C"/>
    <w:rsid w:val="006D4F8D"/>
    <w:rsid w:val="006E2BDC"/>
    <w:rsid w:val="006E7E02"/>
    <w:rsid w:val="006F0CEA"/>
    <w:rsid w:val="007040AA"/>
    <w:rsid w:val="00720F48"/>
    <w:rsid w:val="00722AF1"/>
    <w:rsid w:val="007232F1"/>
    <w:rsid w:val="00736CCF"/>
    <w:rsid w:val="00743B4B"/>
    <w:rsid w:val="007551FA"/>
    <w:rsid w:val="007643FC"/>
    <w:rsid w:val="007B57B3"/>
    <w:rsid w:val="007B66E4"/>
    <w:rsid w:val="007C5B2E"/>
    <w:rsid w:val="007D2192"/>
    <w:rsid w:val="007F37A7"/>
    <w:rsid w:val="00831608"/>
    <w:rsid w:val="008410F6"/>
    <w:rsid w:val="00851DF5"/>
    <w:rsid w:val="00867245"/>
    <w:rsid w:val="00874952"/>
    <w:rsid w:val="00883F61"/>
    <w:rsid w:val="00886E2C"/>
    <w:rsid w:val="00890401"/>
    <w:rsid w:val="008D44A7"/>
    <w:rsid w:val="00931A88"/>
    <w:rsid w:val="009678DB"/>
    <w:rsid w:val="00975B22"/>
    <w:rsid w:val="009B1167"/>
    <w:rsid w:val="009B1C07"/>
    <w:rsid w:val="00A63C6C"/>
    <w:rsid w:val="00A71B8B"/>
    <w:rsid w:val="00A900A1"/>
    <w:rsid w:val="00AA16DC"/>
    <w:rsid w:val="00AB78EE"/>
    <w:rsid w:val="00B14A2C"/>
    <w:rsid w:val="00B2175B"/>
    <w:rsid w:val="00B34E7D"/>
    <w:rsid w:val="00B5520D"/>
    <w:rsid w:val="00B64AE3"/>
    <w:rsid w:val="00BD2B62"/>
    <w:rsid w:val="00BD4C47"/>
    <w:rsid w:val="00BE2347"/>
    <w:rsid w:val="00C7058C"/>
    <w:rsid w:val="00C71B78"/>
    <w:rsid w:val="00C8050C"/>
    <w:rsid w:val="00C8099F"/>
    <w:rsid w:val="00C82959"/>
    <w:rsid w:val="00CF453F"/>
    <w:rsid w:val="00CF7EE9"/>
    <w:rsid w:val="00D0424E"/>
    <w:rsid w:val="00D226F4"/>
    <w:rsid w:val="00D30D61"/>
    <w:rsid w:val="00D4478B"/>
    <w:rsid w:val="00DB30FC"/>
    <w:rsid w:val="00DE1CC0"/>
    <w:rsid w:val="00E3678A"/>
    <w:rsid w:val="00E606E6"/>
    <w:rsid w:val="00E862AD"/>
    <w:rsid w:val="00EB7B08"/>
    <w:rsid w:val="00F43F9F"/>
    <w:rsid w:val="00F62E5A"/>
    <w:rsid w:val="00F64146"/>
    <w:rsid w:val="00FA6851"/>
    <w:rsid w:val="00FB4E82"/>
    <w:rsid w:val="00FE5C86"/>
    <w:rsid w:val="00FF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F754"/>
  <w15:chartTrackingRefBased/>
  <w15:docId w15:val="{C6B386C5-0CC8-4512-B929-57A41379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3C8"/>
  </w:style>
  <w:style w:type="paragraph" w:styleId="Footer">
    <w:name w:val="footer"/>
    <w:basedOn w:val="Normal"/>
    <w:link w:val="FooterChar"/>
    <w:uiPriority w:val="99"/>
    <w:unhideWhenUsed/>
    <w:rsid w:val="0040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3C8"/>
  </w:style>
  <w:style w:type="paragraph" w:styleId="BalloonText">
    <w:name w:val="Balloon Text"/>
    <w:basedOn w:val="Normal"/>
    <w:link w:val="BalloonTextChar"/>
    <w:uiPriority w:val="99"/>
    <w:semiHidden/>
    <w:unhideWhenUsed/>
    <w:rsid w:val="003A3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51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900A1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1"/>
    <w:qFormat/>
    <w:rsid w:val="00A900A1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1"/>
    <w:rsid w:val="002F7A24"/>
  </w:style>
  <w:style w:type="character" w:styleId="UnresolvedMention">
    <w:name w:val="Unresolved Mention"/>
    <w:basedOn w:val="DefaultParagraphFont"/>
    <w:uiPriority w:val="99"/>
    <w:semiHidden/>
    <w:unhideWhenUsed/>
    <w:rsid w:val="003C4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nvestor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ELANA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Georgiev</dc:creator>
  <cp:keywords/>
  <dc:description/>
  <cp:lastModifiedBy>Valentin Stoilov</cp:lastModifiedBy>
  <cp:revision>2</cp:revision>
  <cp:lastPrinted>2020-07-01T12:32:00Z</cp:lastPrinted>
  <dcterms:created xsi:type="dcterms:W3CDTF">2022-10-26T12:12:00Z</dcterms:created>
  <dcterms:modified xsi:type="dcterms:W3CDTF">2022-10-26T12:12:00Z</dcterms:modified>
</cp:coreProperties>
</file>